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23 153 vom 21. Juli 2023</w:t>
      </w:r>
    </w:p>
    <w:p>
      <w:r>
        <w:t>VS Kantonsgericht, 2023-07-21, FR</w:t>
      </w:r>
    </w:p>
    <w:p>
      <w:r>
        <w:rPr>
          <w:b/>
        </w:rPr>
        <w:t xml:space="preserve">Quelle: </w:t>
      </w:r>
      <w:r>
        <w:t>https://mcp.opencaselaw.ch/entscheid/vs_gerichte_C1 23 153</w:t>
      </w:r>
    </w:p>
    <w:p>
      <w:r>
        <w:t>FR: VS_GERICHTE C1 23 153 du 21 juillet 2023</w:t>
      </w:r>
    </w:p>
    <w:p>
      <w:r>
        <w:t>IT: VS_GERICHTE C1 23 153 del 21 luglio 2023</w:t>
      </w:r>
    </w:p>
    <w:p>
      <w:pPr>
        <w:pStyle w:val="Heading2"/>
      </w:pPr>
      <w:r>
        <w:t>Regeste</w:t>
      </w:r>
    </w:p>
    <w:p>
      <w:r>
        <w:t>C1 23 153 ARRÊT DU 21 JUILLET 2023 Tribunal cantonal du Valais Autorité de recours en matière de protection de l'enfant et de l'adulte Camille Rey-Mermet, présidente ; Malika Hofer, greffière en la cause X _________, c/o Y _________, recourant contre TRIBUNAL DES MESURES DE CONTRAINTE, à Sion, autorité attaquée (placement à des fins d’assistance) recours contre la décision rendue le 22 juin 2023 par le Tribunal des mesures de contrainte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irrecevable.</w:t>
      </w:r>
    </w:p>
    <w:p>
      <w:r>
        <w:rPr>
          <w:b/>
        </w:rPr>
        <w:t>E. 2</w:t>
      </w:r>
    </w:p>
    <w:p>
      <w:r>
        <w:t>Il n’est pas perçu de frais judiciaires. Sion, le 21 juillet 2023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